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2F2F2" w:themeColor="background1" w:themeShade="F2"/>
  <w:body>
    <w:p w14:paraId="74B094E8" w14:textId="77777777" w:rsidR="00132FC0" w:rsidRPr="00132FC0" w:rsidRDefault="00132FC0" w:rsidP="00132FC0">
      <w:pPr>
        <w:spacing w:before="100" w:beforeAutospacing="1" w:after="100" w:afterAutospacing="1" w:line="240" w:lineRule="auto"/>
        <w:jc w:val="center"/>
        <w:outlineLvl w:val="0"/>
        <w:rPr>
          <w:rFonts w:asciiTheme="majorBidi" w:eastAsia="Times New Roman" w:hAnsiTheme="majorBidi" w:cstheme="majorBidi"/>
          <w:b/>
          <w:bCs/>
          <w:kern w:val="36"/>
          <w:lang w:eastAsia="en-GB"/>
        </w:rPr>
      </w:pPr>
      <w:r w:rsidRPr="00132FC0">
        <w:rPr>
          <w:rFonts w:asciiTheme="majorBidi" w:eastAsia="Times New Roman" w:hAnsiTheme="majorBidi" w:cstheme="majorBidi"/>
          <w:b/>
          <w:bCs/>
          <w:kern w:val="36"/>
          <w:lang w:eastAsia="en-GB"/>
        </w:rPr>
        <w:t>Comprehensive, Detailed, and Descriptive Dossier on the Political and Human Rights Situation in Iran</w:t>
      </w:r>
    </w:p>
    <w:p w14:paraId="354D72C1" w14:textId="77777777" w:rsidR="00132FC0" w:rsidRPr="00132FC0" w:rsidRDefault="00132FC0" w:rsidP="00132FC0">
      <w:pPr>
        <w:spacing w:after="0" w:line="240" w:lineRule="auto"/>
        <w:rPr>
          <w:rFonts w:asciiTheme="majorBidi" w:eastAsia="Times New Roman" w:hAnsiTheme="majorBidi" w:cstheme="majorBidi"/>
          <w:sz w:val="24"/>
          <w:szCs w:val="24"/>
          <w:lang w:eastAsia="en-GB"/>
        </w:rPr>
      </w:pPr>
    </w:p>
    <w:p w14:paraId="7738344C"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General Introduction</w:t>
      </w:r>
    </w:p>
    <w:p w14:paraId="7359551C" w14:textId="2D62E3B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This dossier has been prepared with the purpose of presenting a comprehensive, well-documented, analytical, and descriptive account of the political and human rights situation in the Islamic Republic of Iran. The current situation in Iran is the result of decades of accumulated structural crises in governance, human rights, judicial justice, the economy, and civil liberties. In recent years, these crises have reached a critical point, manifesting in widespread protests, mass civil disobedience, and violent state responses. What is unfolding in Iran today is not a temporary political crisis, but rather the manifestation of a chronic system of systematic human rights violations.</w:t>
      </w:r>
    </w:p>
    <w:p w14:paraId="4522F720"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Part One: Political Structure and the Legal Context of Human Rights Violations</w:t>
      </w:r>
    </w:p>
    <w:p w14:paraId="696F6C73"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1.1. Power Structure and Concentration of Authority</w:t>
      </w:r>
    </w:p>
    <w:p w14:paraId="72A07235"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Islamic Republic of Iran is built upon a political structure in which power is highly centralized. Institutions such as the Supreme Leadership (Velayat-e Faqih), the Islamic Revolutionary Guard Corps (IRGC), the Guardian Council, and the Judiciary exercise decisive influence over political and legal outcomes without effective popular, parliamentary, or independent oversight. This concentration of power severely restricts accountability, transparency, and the possibility of meaningful internal reform.</w:t>
      </w:r>
    </w:p>
    <w:p w14:paraId="104A53D1"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1.2. Lack of Judicial Independence</w:t>
      </w:r>
    </w:p>
    <w:p w14:paraId="4284FDC8" w14:textId="45C6BFF1"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judiciary in Iran lacks practical independence and functions as a political instrument of repression. Judges in political and security-related cases frequently operate under direct influence or instruction from intelligence and security agencies. Arbitrary arrests, forced confessions, closed trials, and the issuance of harsh sentences are persistent and systemic features of this apparatus.</w:t>
      </w:r>
    </w:p>
    <w:p w14:paraId="3A61E218"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Part Two: Historical Background of Human Rights Violations</w:t>
      </w:r>
    </w:p>
    <w:p w14:paraId="582B8CC8"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2.1. Decades of Continuous Repression</w:t>
      </w:r>
    </w:p>
    <w:p w14:paraId="19C4BB3C"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Since the establishment of the Islamic Republic, systematic human rights violations have been a defining characteristic of governance. These include mass executions in the 1980s, violent suppression of student movements, serial killings of intellectuals, and the repression of popular protests in 2009, 2017, 2019, and 2022.</w:t>
      </w:r>
    </w:p>
    <w:p w14:paraId="2B4FB9D3"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This historical record demonstrates that the suppression of recent protests is not an anomaly, but rather the continuation of a long-standing and entrenched pattern of state violence.</w:t>
      </w:r>
    </w:p>
    <w:p w14:paraId="2C98A301"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2.2. The Death Penalty as a Tool of Intimidation</w:t>
      </w:r>
    </w:p>
    <w:p w14:paraId="2A4AE21D" w14:textId="74BE5FEE"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lastRenderedPageBreak/>
        <w:t>Iran has consistently maintained one of the highest execution rates in the world. The death penalty has been applied not only for serious crimes but extensively against political dissidents, protesters, ethnic and religious minorities, and, in some cases, juveniles. In recent years, executions have increasingly functioned as a deliberate tool of social intimidation and political control.</w:t>
      </w:r>
    </w:p>
    <w:p w14:paraId="15D132C0"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Part Three: Recent Nationwide Protests and Their Underlying Causes</w:t>
      </w:r>
    </w:p>
    <w:p w14:paraId="1594BCC7"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3.1. Economic, Social, and Political Drivers</w:t>
      </w:r>
    </w:p>
    <w:p w14:paraId="061AEDA5"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rtl/>
          <w:lang w:eastAsia="en-GB"/>
        </w:rPr>
      </w:pPr>
      <w:r w:rsidRPr="00132FC0">
        <w:rPr>
          <w:rFonts w:asciiTheme="majorBidi" w:eastAsia="Times New Roman" w:hAnsiTheme="majorBidi" w:cstheme="majorBidi"/>
          <w:sz w:val="24"/>
          <w:szCs w:val="24"/>
          <w:lang w:eastAsia="en-GB"/>
        </w:rPr>
        <w:t>The recent protests are the result of a convergence of deep economic hardship (inflation, unemployment, widespread poverty), systemic corruption, social discrimination, suppression of fundamental freedoms, and the complete blockage of peaceful political participation. Large segments of the population—particularly youth—perceive no viable future prospects.</w:t>
      </w:r>
    </w:p>
    <w:p w14:paraId="521B9421"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b/>
          <w:bCs/>
          <w:sz w:val="24"/>
          <w:szCs w:val="24"/>
          <w:lang w:val="sv-SE" w:eastAsia="en-GB"/>
        </w:rPr>
      </w:pPr>
      <w:r w:rsidRPr="00132FC0">
        <w:rPr>
          <w:rFonts w:asciiTheme="majorBidi" w:eastAsia="Times New Roman" w:hAnsiTheme="majorBidi" w:cstheme="majorBidi"/>
          <w:b/>
          <w:bCs/>
          <w:sz w:val="24"/>
          <w:szCs w:val="24"/>
          <w:lang w:val="sv-SE" w:eastAsia="en-GB"/>
        </w:rPr>
        <w:t xml:space="preserve">3.2. </w:t>
      </w:r>
      <w:r w:rsidRPr="00132FC0">
        <w:rPr>
          <w:rFonts w:asciiTheme="majorBidi" w:hAnsiTheme="majorBidi" w:cstheme="majorBidi"/>
          <w:sz w:val="24"/>
          <w:szCs w:val="24"/>
        </w:rPr>
        <w:t>The “Women, Life, Freedom” Movement and Its Societal Impact</w:t>
      </w:r>
    </w:p>
    <w:p w14:paraId="54D8C7E0" w14:textId="4673366E" w:rsidR="00132FC0" w:rsidRPr="00132FC0" w:rsidRDefault="00132FC0" w:rsidP="00132FC0">
      <w:pPr>
        <w:pStyle w:val="NormalWeb"/>
        <w:rPr>
          <w:rFonts w:asciiTheme="majorBidi" w:hAnsiTheme="majorBidi" w:cstheme="majorBidi"/>
        </w:rPr>
      </w:pPr>
      <w:r w:rsidRPr="00132FC0">
        <w:rPr>
          <w:rFonts w:asciiTheme="majorBidi" w:hAnsiTheme="majorBidi" w:cstheme="majorBidi"/>
        </w:rPr>
        <w:t>The “Women, Life, Freedom” movement has emerged as one of the most significant civil rights movements in contemporary Iranian history. Predominantly led by women, it calls for an end to gender-based discrimination, systemic oppression, and authoritarian control. The movement has transcended ethnic, social, and regional boundaries, uniting diverse segments of Iranian society in pursuit of equality, justice, and individual freedoms. Despite facing severe state repression—including arrests, violence, and intimidation—the movement continues to mobilize citizens and attract international attention to human rights violations in Iran. Its significance extends beyond advocating for women’s rights; it represents a broader call for social transformation and democratization throughout the country.</w:t>
      </w:r>
      <w:r w:rsidRPr="00132FC0">
        <w:rPr>
          <w:rFonts w:asciiTheme="majorBidi" w:hAnsiTheme="majorBidi" w:cstheme="majorBidi"/>
          <w:rtl/>
        </w:rPr>
        <w:t xml:space="preserve"> </w:t>
      </w:r>
      <w:r w:rsidRPr="00132FC0">
        <w:rPr>
          <w:rFonts w:asciiTheme="majorBidi" w:hAnsiTheme="majorBidi" w:cstheme="majorBidi"/>
        </w:rPr>
        <w:t>It can be said that the current movement in Iran is a direct continuation of, or inspired by, the “Women, Life, Freedom” movement.</w:t>
      </w:r>
    </w:p>
    <w:p w14:paraId="1B78C8CC"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3.3. Geographic and Social Scope of the Protests</w:t>
      </w:r>
    </w:p>
    <w:p w14:paraId="6061CDF1" w14:textId="184507A6"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protests rapidly expanded from major urban centers to smaller cities and marginalized regions, encompassing diverse social groups including workers, teachers, students, women, retirees, and ethnic minorities. This breadth reflects the depth and universality of societal discontent.</w:t>
      </w:r>
    </w:p>
    <w:p w14:paraId="232674F6"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Part Four: State Response and Systematic Repression</w:t>
      </w:r>
    </w:p>
    <w:p w14:paraId="1561D61D"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4.1. Use of Lethal and Excessive Force</w:t>
      </w:r>
    </w:p>
    <w:p w14:paraId="655FDAB8"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Security forces have employed live ammunition, direct targeting of the head and eyes, severe beatings, and the pursuit of protesters into homes and medical facilities. Extensive evidence indicates the issuance of orders to kill or permanently maim demonstrators.</w:t>
      </w:r>
    </w:p>
    <w:p w14:paraId="2956A9EC"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4.2. Mass Arrests and Enforced Disappearances</w:t>
      </w:r>
    </w:p>
    <w:p w14:paraId="2AD162E1" w14:textId="710FF7F1"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rtl/>
          <w:lang w:eastAsia="en-GB"/>
        </w:rPr>
      </w:pPr>
      <w:r w:rsidRPr="00132FC0">
        <w:rPr>
          <w:rFonts w:asciiTheme="majorBidi" w:eastAsia="Times New Roman" w:hAnsiTheme="majorBidi" w:cstheme="majorBidi"/>
          <w:sz w:val="24"/>
          <w:szCs w:val="24"/>
          <w:lang w:eastAsia="en-GB"/>
        </w:rPr>
        <w:lastRenderedPageBreak/>
        <w:t>Tens of thousands of individuals have been detained. Many detainees were held for days or weeks in undisclosed locations, with families denied information about their fate or whereabouts. Such practices constitute enforced disappearance under international law.</w:t>
      </w:r>
    </w:p>
    <w:p w14:paraId="3DCB0B82" w14:textId="77777777" w:rsidR="00132FC0" w:rsidRPr="00132FC0" w:rsidRDefault="00132FC0" w:rsidP="00132FC0">
      <w:pPr>
        <w:pStyle w:val="NormalWeb"/>
        <w:rPr>
          <w:rFonts w:asciiTheme="majorBidi" w:hAnsiTheme="majorBidi" w:cstheme="majorBidi"/>
        </w:rPr>
      </w:pPr>
      <w:r w:rsidRPr="00132FC0">
        <w:rPr>
          <w:rStyle w:val="Strong"/>
          <w:rFonts w:asciiTheme="majorBidi" w:eastAsiaTheme="majorEastAsia" w:hAnsiTheme="majorBidi" w:cstheme="majorBidi"/>
        </w:rPr>
        <w:t>4.3. Estimated Death Toll and Lethal Use of Force Against Protesters</w:t>
      </w:r>
    </w:p>
    <w:p w14:paraId="110F5D7D" w14:textId="10358A86" w:rsidR="00132FC0" w:rsidRPr="00132FC0" w:rsidRDefault="00132FC0" w:rsidP="00132FC0">
      <w:pPr>
        <w:pStyle w:val="NormalWeb"/>
        <w:rPr>
          <w:rFonts w:asciiTheme="majorBidi" w:hAnsiTheme="majorBidi" w:cstheme="majorBidi"/>
        </w:rPr>
      </w:pPr>
      <w:r w:rsidRPr="00132FC0">
        <w:rPr>
          <w:rFonts w:asciiTheme="majorBidi" w:hAnsiTheme="majorBidi" w:cstheme="majorBidi"/>
        </w:rPr>
        <w:t xml:space="preserve">Determining the exact number of people killed during the recent nationwide protests in Iran remains extremely difficult due to severe information restrictions, internet shutdowns, intimidation of families, and the lack of transparent official reporting. However, based on data collected by independent human rights organizations, medical sources, eyewitness testimonies, and leaked hospital records, it is estimated that </w:t>
      </w:r>
      <w:r w:rsidRPr="00132FC0">
        <w:rPr>
          <w:rStyle w:val="Strong"/>
          <w:rFonts w:asciiTheme="majorBidi" w:eastAsiaTheme="majorEastAsia" w:hAnsiTheme="majorBidi" w:cstheme="majorBidi"/>
        </w:rPr>
        <w:t>several thousand protesters have been killed</w:t>
      </w:r>
      <w:r w:rsidRPr="00132FC0">
        <w:rPr>
          <w:rFonts w:asciiTheme="majorBidi" w:hAnsiTheme="majorBidi" w:cstheme="majorBidi"/>
        </w:rPr>
        <w:t xml:space="preserve"> since the outbreak of the demonstrations. Victims include men, women, and children, many of whom were shot with live ammunition, often targeting vital areas such as the head, neck, or eyes. Human rights groups emphasize that the actual death toll is likely significantly higher than reported figures, as numerous cases remain undocumented due to fear of reprisals, forced burials, and pressure on families to remain silent. These killings constitute a grave violation of the right to life and reflect the systematic use of lethal force against civilians exercising their right to peaceful protest.</w:t>
      </w:r>
    </w:p>
    <w:p w14:paraId="59535C98"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Part Five: Torture, Forced Confessions, and Detention Conditions</w:t>
      </w:r>
    </w:p>
    <w:p w14:paraId="6E142110"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5.1. Methods of Torture</w:t>
      </w:r>
    </w:p>
    <w:p w14:paraId="15454798"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Numerous reports document the use of physical and psychological torture, including severe beatings, electric shocks, threats of sexual violence, prolonged solitary confinement, sleep deprivation, and pressure exerted on family members.</w:t>
      </w:r>
    </w:p>
    <w:p w14:paraId="1DD85189"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5.2. Televised Forced Confessions</w:t>
      </w:r>
    </w:p>
    <w:p w14:paraId="795B0A5A" w14:textId="32660E0B"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recording and broadcasting of coerced confessions by state media represent a grave violation of human dignity and fundamental principles of fair trial and due process.</w:t>
      </w:r>
    </w:p>
    <w:p w14:paraId="34A9281D"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Part Six: Situation of Women and Minorities</w:t>
      </w:r>
    </w:p>
    <w:p w14:paraId="5874BF78"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6.1. Women</w:t>
      </w:r>
    </w:p>
    <w:p w14:paraId="11E23DC1"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Women have played a leading role in the protests and have simultaneously faced gender-specific repression. Reports indicate widespread arrests, sexual violence, threats, and social intimidation directed at women protesters.</w:t>
      </w:r>
    </w:p>
    <w:p w14:paraId="2F67E2D1" w14:textId="77777777" w:rsidR="00132FC0" w:rsidRPr="00132FC0" w:rsidRDefault="00132FC0" w:rsidP="00132FC0">
      <w:pPr>
        <w:spacing w:before="100" w:beforeAutospacing="1" w:after="100" w:afterAutospacing="1" w:line="240" w:lineRule="auto"/>
        <w:outlineLvl w:val="2"/>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6.2. Ethnic and Religious Minorities</w:t>
      </w:r>
    </w:p>
    <w:p w14:paraId="0D564C2B" w14:textId="5342528F"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Kurds, Baluchis, Arabs, Azeris, and religious minorities such as Baha’is, Christians, and Sunni Muslims have been disproportionately targeted by violence, arrests, and executions, reflecting long-standing patterns of structural discrimination.</w:t>
      </w:r>
    </w:p>
    <w:p w14:paraId="42B4C585"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lastRenderedPageBreak/>
        <w:t>Part Seven: International Legal Analysis</w:t>
      </w:r>
    </w:p>
    <w:p w14:paraId="2C0A4620"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actions of the Iranian authorities constitute serious violations of international human rights law, including but not limited to:</w:t>
      </w:r>
    </w:p>
    <w:p w14:paraId="2131060E" w14:textId="77777777" w:rsidR="00132FC0" w:rsidRPr="00132FC0" w:rsidRDefault="00132FC0" w:rsidP="00132FC0">
      <w:pPr>
        <w:numPr>
          <w:ilvl w:val="0"/>
          <w:numId w:val="9"/>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right to life</w:t>
      </w:r>
    </w:p>
    <w:p w14:paraId="70C2050D" w14:textId="77777777" w:rsidR="00132FC0" w:rsidRPr="00132FC0" w:rsidRDefault="00132FC0" w:rsidP="00132FC0">
      <w:pPr>
        <w:numPr>
          <w:ilvl w:val="0"/>
          <w:numId w:val="9"/>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absolute prohibition of torture and cruel, inhuman, or degrading treatment</w:t>
      </w:r>
    </w:p>
    <w:p w14:paraId="5E48A5E1" w14:textId="77777777" w:rsidR="00132FC0" w:rsidRPr="00132FC0" w:rsidRDefault="00132FC0" w:rsidP="00132FC0">
      <w:pPr>
        <w:numPr>
          <w:ilvl w:val="0"/>
          <w:numId w:val="9"/>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Freedom of expression and peaceful assembly</w:t>
      </w:r>
    </w:p>
    <w:p w14:paraId="241080C8" w14:textId="77777777" w:rsidR="00132FC0" w:rsidRPr="00132FC0" w:rsidRDefault="00132FC0" w:rsidP="00132FC0">
      <w:pPr>
        <w:numPr>
          <w:ilvl w:val="0"/>
          <w:numId w:val="9"/>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right to a fair trial</w:t>
      </w:r>
    </w:p>
    <w:p w14:paraId="510469B3" w14:textId="48FDD075"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rtl/>
          <w:lang w:eastAsia="en-GB"/>
        </w:rPr>
      </w:pPr>
      <w:r w:rsidRPr="00132FC0">
        <w:rPr>
          <w:rFonts w:asciiTheme="majorBidi" w:eastAsia="Times New Roman" w:hAnsiTheme="majorBidi" w:cstheme="majorBidi"/>
          <w:sz w:val="24"/>
          <w:szCs w:val="24"/>
          <w:lang w:eastAsia="en-GB"/>
        </w:rPr>
        <w:t>Given the scale, organization, and persistence of these violations, certain acts may meet the threshold of crimes against humanity under international criminal law.</w:t>
      </w:r>
    </w:p>
    <w:p w14:paraId="3157E3A0"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Part Eight: Social and Human Consequences</w:t>
      </w:r>
    </w:p>
    <w:p w14:paraId="6B8B4243" w14:textId="2B431EB5"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The widespread repression has resulted in pervasive fear, collective trauma, erosion of social trust, forced migration of professionals and intellectuals, and severe psychological harm at the societal level. Iran’s younger generations, in particular, face profound feelings of hopelessness and long-term psychological injury.</w:t>
      </w:r>
    </w:p>
    <w:p w14:paraId="587A04FE"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Part Nine: Demands and Recommendations</w:t>
      </w:r>
    </w:p>
    <w:p w14:paraId="5C1E5977" w14:textId="77777777" w:rsidR="00132FC0" w:rsidRPr="00132FC0" w:rsidRDefault="00132FC0" w:rsidP="00132FC0">
      <w:pPr>
        <w:numPr>
          <w:ilvl w:val="0"/>
          <w:numId w:val="10"/>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Establish independent international fact-finding and investigative mechanisms</w:t>
      </w:r>
    </w:p>
    <w:p w14:paraId="135B183A" w14:textId="77777777" w:rsidR="00132FC0" w:rsidRPr="00132FC0" w:rsidRDefault="00132FC0" w:rsidP="00132FC0">
      <w:pPr>
        <w:numPr>
          <w:ilvl w:val="0"/>
          <w:numId w:val="10"/>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Immediate suspension of all executions, particularly those related to political cases</w:t>
      </w:r>
    </w:p>
    <w:p w14:paraId="28BD356D" w14:textId="77777777" w:rsidR="00132FC0" w:rsidRPr="00132FC0" w:rsidRDefault="00132FC0" w:rsidP="00132FC0">
      <w:pPr>
        <w:numPr>
          <w:ilvl w:val="0"/>
          <w:numId w:val="10"/>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Unconditional release of all political and prisoners of conscience</w:t>
      </w:r>
    </w:p>
    <w:p w14:paraId="7DB74D97" w14:textId="77777777" w:rsidR="00132FC0" w:rsidRPr="00132FC0" w:rsidRDefault="00132FC0" w:rsidP="00132FC0">
      <w:pPr>
        <w:numPr>
          <w:ilvl w:val="0"/>
          <w:numId w:val="10"/>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Grant international bodies access to detention facilities and prisons</w:t>
      </w:r>
    </w:p>
    <w:p w14:paraId="7C28A67E" w14:textId="77777777" w:rsidR="00132FC0" w:rsidRPr="00132FC0" w:rsidRDefault="00132FC0" w:rsidP="00132FC0">
      <w:pPr>
        <w:numPr>
          <w:ilvl w:val="0"/>
          <w:numId w:val="10"/>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Impose targeted human rights sanctions against individuals and entities responsible for violations</w:t>
      </w:r>
    </w:p>
    <w:p w14:paraId="094F1F73" w14:textId="76F2265A" w:rsidR="00132FC0" w:rsidRPr="00132FC0" w:rsidRDefault="00132FC0" w:rsidP="00132FC0">
      <w:pPr>
        <w:numPr>
          <w:ilvl w:val="0"/>
          <w:numId w:val="10"/>
        </w:num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sz w:val="24"/>
          <w:szCs w:val="24"/>
          <w:lang w:eastAsia="en-GB"/>
        </w:rPr>
        <w:t>Provide international support and protection for victims and their families</w:t>
      </w:r>
    </w:p>
    <w:p w14:paraId="3B764150" w14:textId="77777777"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Final Conclusion</w:t>
      </w:r>
    </w:p>
    <w:p w14:paraId="218422EF" w14:textId="1582355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rtl/>
          <w:lang w:eastAsia="en-GB"/>
        </w:rPr>
      </w:pPr>
      <w:r w:rsidRPr="00132FC0">
        <w:rPr>
          <w:rFonts w:asciiTheme="majorBidi" w:eastAsia="Times New Roman" w:hAnsiTheme="majorBidi" w:cstheme="majorBidi"/>
          <w:sz w:val="24"/>
          <w:szCs w:val="24"/>
          <w:lang w:eastAsia="en-GB"/>
        </w:rPr>
        <w:t>The current situation in Iran represents a deep crisis of political legitimacy and respect for human dignity. Silence or inaction by the international community risks perpetuating cycles of violence and impunity. This dossier seeks to document the truth, preserve the collective memory of victims, and advance the pursuit of justice and accountability.</w:t>
      </w:r>
    </w:p>
    <w:p w14:paraId="63EEA78C" w14:textId="77777777" w:rsid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rtl/>
          <w:lang w:eastAsia="en-GB"/>
        </w:rPr>
      </w:pPr>
    </w:p>
    <w:p w14:paraId="1C9B11C8" w14:textId="77777777" w:rsidR="007C0CC5" w:rsidRDefault="007C0CC5" w:rsidP="00132FC0">
      <w:pPr>
        <w:spacing w:before="100" w:beforeAutospacing="1" w:after="100" w:afterAutospacing="1" w:line="240" w:lineRule="auto"/>
        <w:outlineLvl w:val="1"/>
        <w:rPr>
          <w:rFonts w:asciiTheme="majorBidi" w:eastAsia="Times New Roman" w:hAnsiTheme="majorBidi" w:cstheme="majorBidi"/>
          <w:b/>
          <w:bCs/>
          <w:sz w:val="24"/>
          <w:szCs w:val="24"/>
          <w:rtl/>
          <w:lang w:eastAsia="en-GB"/>
        </w:rPr>
      </w:pPr>
    </w:p>
    <w:p w14:paraId="6EB2A72B" w14:textId="77777777" w:rsidR="007C0CC5" w:rsidRDefault="007C0CC5" w:rsidP="00132FC0">
      <w:pPr>
        <w:spacing w:before="100" w:beforeAutospacing="1" w:after="100" w:afterAutospacing="1" w:line="240" w:lineRule="auto"/>
        <w:outlineLvl w:val="1"/>
        <w:rPr>
          <w:rFonts w:asciiTheme="majorBidi" w:eastAsia="Times New Roman" w:hAnsiTheme="majorBidi" w:cstheme="majorBidi"/>
          <w:b/>
          <w:bCs/>
          <w:sz w:val="24"/>
          <w:szCs w:val="24"/>
          <w:rtl/>
          <w:lang w:eastAsia="en-GB"/>
        </w:rPr>
      </w:pPr>
    </w:p>
    <w:p w14:paraId="3B2B4CA4" w14:textId="77777777" w:rsidR="007C0CC5" w:rsidRDefault="007C0CC5" w:rsidP="00132FC0">
      <w:pPr>
        <w:spacing w:before="100" w:beforeAutospacing="1" w:after="100" w:afterAutospacing="1" w:line="240" w:lineRule="auto"/>
        <w:outlineLvl w:val="1"/>
        <w:rPr>
          <w:rFonts w:asciiTheme="majorBidi" w:eastAsia="Times New Roman" w:hAnsiTheme="majorBidi" w:cstheme="majorBidi"/>
          <w:b/>
          <w:bCs/>
          <w:sz w:val="24"/>
          <w:szCs w:val="24"/>
          <w:rtl/>
          <w:lang w:eastAsia="en-GB"/>
        </w:rPr>
      </w:pPr>
    </w:p>
    <w:p w14:paraId="24B94E29" w14:textId="77777777" w:rsidR="007C0CC5" w:rsidRDefault="007C0CC5" w:rsidP="00132FC0">
      <w:pPr>
        <w:spacing w:before="100" w:beforeAutospacing="1" w:after="100" w:afterAutospacing="1" w:line="240" w:lineRule="auto"/>
        <w:outlineLvl w:val="1"/>
        <w:rPr>
          <w:rFonts w:asciiTheme="majorBidi" w:eastAsia="Times New Roman" w:hAnsiTheme="majorBidi" w:cstheme="majorBidi"/>
          <w:b/>
          <w:bCs/>
          <w:sz w:val="24"/>
          <w:szCs w:val="24"/>
          <w:rtl/>
          <w:lang w:eastAsia="en-GB"/>
        </w:rPr>
      </w:pPr>
    </w:p>
    <w:p w14:paraId="653CF7A0" w14:textId="42B63A7D" w:rsidR="00132FC0" w:rsidRPr="00132FC0" w:rsidRDefault="00132FC0" w:rsidP="00132FC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132FC0">
        <w:rPr>
          <w:rFonts w:asciiTheme="majorBidi" w:eastAsia="Times New Roman" w:hAnsiTheme="majorBidi" w:cstheme="majorBidi"/>
          <w:b/>
          <w:bCs/>
          <w:sz w:val="24"/>
          <w:szCs w:val="24"/>
          <w:lang w:eastAsia="en-GB"/>
        </w:rPr>
        <w:t xml:space="preserve">References </w:t>
      </w:r>
    </w:p>
    <w:p w14:paraId="6EF495EE"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b/>
          <w:bCs/>
          <w:sz w:val="24"/>
          <w:szCs w:val="24"/>
          <w:lang w:eastAsia="en-GB"/>
        </w:rPr>
        <w:t>United Nations and Legal Instruments</w:t>
      </w:r>
      <w:r w:rsidRPr="00132FC0">
        <w:rPr>
          <w:rFonts w:asciiTheme="majorBidi" w:eastAsia="Times New Roman" w:hAnsiTheme="majorBidi" w:cstheme="majorBidi"/>
          <w:sz w:val="24"/>
          <w:szCs w:val="24"/>
          <w:lang w:eastAsia="en-GB"/>
        </w:rPr>
        <w:br/>
        <w:t xml:space="preserve">United Nations Human Rights Council. </w:t>
      </w:r>
      <w:r w:rsidRPr="00132FC0">
        <w:rPr>
          <w:rFonts w:asciiTheme="majorBidi" w:eastAsia="Times New Roman" w:hAnsiTheme="majorBidi" w:cstheme="majorBidi"/>
          <w:i/>
          <w:iCs/>
          <w:sz w:val="24"/>
          <w:szCs w:val="24"/>
          <w:lang w:eastAsia="en-GB"/>
        </w:rPr>
        <w:t>Report of the Special Rapporteur on the Situation of Human Rights in the Islamic Republic of Iran.</w:t>
      </w:r>
      <w:r w:rsidRPr="00132FC0">
        <w:rPr>
          <w:rFonts w:asciiTheme="majorBidi" w:eastAsia="Times New Roman" w:hAnsiTheme="majorBidi" w:cstheme="majorBidi"/>
          <w:sz w:val="24"/>
          <w:szCs w:val="24"/>
          <w:lang w:eastAsia="en-GB"/>
        </w:rPr>
        <w:t xml:space="preserve"> Geneva: United Nations.</w:t>
      </w:r>
      <w:r w:rsidRPr="00132FC0">
        <w:rPr>
          <w:rFonts w:asciiTheme="majorBidi" w:eastAsia="Times New Roman" w:hAnsiTheme="majorBidi" w:cstheme="majorBidi"/>
          <w:sz w:val="24"/>
          <w:szCs w:val="24"/>
          <w:lang w:eastAsia="en-GB"/>
        </w:rPr>
        <w:br/>
        <w:t xml:space="preserve">United Nations. </w:t>
      </w:r>
      <w:r w:rsidRPr="00132FC0">
        <w:rPr>
          <w:rFonts w:asciiTheme="majorBidi" w:eastAsia="Times New Roman" w:hAnsiTheme="majorBidi" w:cstheme="majorBidi"/>
          <w:i/>
          <w:iCs/>
          <w:sz w:val="24"/>
          <w:szCs w:val="24"/>
          <w:lang w:eastAsia="en-GB"/>
        </w:rPr>
        <w:t>International Covenant on Civil and Political Rights.</w:t>
      </w:r>
      <w:r w:rsidRPr="00132FC0">
        <w:rPr>
          <w:rFonts w:asciiTheme="majorBidi" w:eastAsia="Times New Roman" w:hAnsiTheme="majorBidi" w:cstheme="majorBidi"/>
          <w:sz w:val="24"/>
          <w:szCs w:val="24"/>
          <w:lang w:eastAsia="en-GB"/>
        </w:rPr>
        <w:t xml:space="preserve"> United Nations Treaty Series, 1966.</w:t>
      </w:r>
      <w:r w:rsidRPr="00132FC0">
        <w:rPr>
          <w:rFonts w:asciiTheme="majorBidi" w:eastAsia="Times New Roman" w:hAnsiTheme="majorBidi" w:cstheme="majorBidi"/>
          <w:sz w:val="24"/>
          <w:szCs w:val="24"/>
          <w:lang w:eastAsia="en-GB"/>
        </w:rPr>
        <w:br/>
        <w:t xml:space="preserve">United Nations. </w:t>
      </w:r>
      <w:r w:rsidRPr="00132FC0">
        <w:rPr>
          <w:rFonts w:asciiTheme="majorBidi" w:eastAsia="Times New Roman" w:hAnsiTheme="majorBidi" w:cstheme="majorBidi"/>
          <w:i/>
          <w:iCs/>
          <w:sz w:val="24"/>
          <w:szCs w:val="24"/>
          <w:lang w:eastAsia="en-GB"/>
        </w:rPr>
        <w:t>Convention against Torture and Other Cruel, Inhuman or Degrading Treatment or Punishment.</w:t>
      </w:r>
      <w:r w:rsidRPr="00132FC0">
        <w:rPr>
          <w:rFonts w:asciiTheme="majorBidi" w:eastAsia="Times New Roman" w:hAnsiTheme="majorBidi" w:cstheme="majorBidi"/>
          <w:sz w:val="24"/>
          <w:szCs w:val="24"/>
          <w:lang w:eastAsia="en-GB"/>
        </w:rPr>
        <w:t xml:space="preserve"> New York: United Nations, 1984.</w:t>
      </w:r>
      <w:r w:rsidRPr="00132FC0">
        <w:rPr>
          <w:rFonts w:asciiTheme="majorBidi" w:eastAsia="Times New Roman" w:hAnsiTheme="majorBidi" w:cstheme="majorBidi"/>
          <w:sz w:val="24"/>
          <w:szCs w:val="24"/>
          <w:lang w:eastAsia="en-GB"/>
        </w:rPr>
        <w:br/>
        <w:t xml:space="preserve">International Criminal Court. </w:t>
      </w:r>
      <w:r w:rsidRPr="00132FC0">
        <w:rPr>
          <w:rFonts w:asciiTheme="majorBidi" w:eastAsia="Times New Roman" w:hAnsiTheme="majorBidi" w:cstheme="majorBidi"/>
          <w:i/>
          <w:iCs/>
          <w:sz w:val="24"/>
          <w:szCs w:val="24"/>
          <w:lang w:eastAsia="en-GB"/>
        </w:rPr>
        <w:t>Rome Statute of the International Criminal Court.</w:t>
      </w:r>
      <w:r w:rsidRPr="00132FC0">
        <w:rPr>
          <w:rFonts w:asciiTheme="majorBidi" w:eastAsia="Times New Roman" w:hAnsiTheme="majorBidi" w:cstheme="majorBidi"/>
          <w:sz w:val="24"/>
          <w:szCs w:val="24"/>
          <w:lang w:eastAsia="en-GB"/>
        </w:rPr>
        <w:t xml:space="preserve"> The Hague: ICC, 1998.</w:t>
      </w:r>
    </w:p>
    <w:p w14:paraId="3828BF60"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b/>
          <w:bCs/>
          <w:sz w:val="24"/>
          <w:szCs w:val="24"/>
          <w:lang w:eastAsia="en-GB"/>
        </w:rPr>
        <w:t>Human Rights Organizations</w:t>
      </w:r>
      <w:r w:rsidRPr="00132FC0">
        <w:rPr>
          <w:rFonts w:asciiTheme="majorBidi" w:eastAsia="Times New Roman" w:hAnsiTheme="majorBidi" w:cstheme="majorBidi"/>
          <w:sz w:val="24"/>
          <w:szCs w:val="24"/>
          <w:lang w:eastAsia="en-GB"/>
        </w:rPr>
        <w:br/>
        <w:t xml:space="preserve">Amnesty International. </w:t>
      </w:r>
      <w:r w:rsidRPr="00132FC0">
        <w:rPr>
          <w:rFonts w:asciiTheme="majorBidi" w:eastAsia="Times New Roman" w:hAnsiTheme="majorBidi" w:cstheme="majorBidi"/>
          <w:i/>
          <w:iCs/>
          <w:sz w:val="24"/>
          <w:szCs w:val="24"/>
          <w:lang w:eastAsia="en-GB"/>
        </w:rPr>
        <w:t>Iran: Human Rights Reports and Urgent Actions.</w:t>
      </w:r>
      <w:r w:rsidRPr="00132FC0">
        <w:rPr>
          <w:rFonts w:asciiTheme="majorBidi" w:eastAsia="Times New Roman" w:hAnsiTheme="majorBidi" w:cstheme="majorBidi"/>
          <w:sz w:val="24"/>
          <w:szCs w:val="24"/>
          <w:lang w:eastAsia="en-GB"/>
        </w:rPr>
        <w:t xml:space="preserve"> London: Amnesty International.</w:t>
      </w:r>
      <w:r w:rsidRPr="00132FC0">
        <w:rPr>
          <w:rFonts w:asciiTheme="majorBidi" w:eastAsia="Times New Roman" w:hAnsiTheme="majorBidi" w:cstheme="majorBidi"/>
          <w:sz w:val="24"/>
          <w:szCs w:val="24"/>
          <w:lang w:eastAsia="en-GB"/>
        </w:rPr>
        <w:br/>
        <w:t xml:space="preserve">Human Rights Watch. </w:t>
      </w:r>
      <w:r w:rsidRPr="00132FC0">
        <w:rPr>
          <w:rFonts w:asciiTheme="majorBidi" w:eastAsia="Times New Roman" w:hAnsiTheme="majorBidi" w:cstheme="majorBidi"/>
          <w:i/>
          <w:iCs/>
          <w:sz w:val="24"/>
          <w:szCs w:val="24"/>
          <w:lang w:eastAsia="en-GB"/>
        </w:rPr>
        <w:t>World Report: Iran.</w:t>
      </w:r>
      <w:r w:rsidRPr="00132FC0">
        <w:rPr>
          <w:rFonts w:asciiTheme="majorBidi" w:eastAsia="Times New Roman" w:hAnsiTheme="majorBidi" w:cstheme="majorBidi"/>
          <w:sz w:val="24"/>
          <w:szCs w:val="24"/>
          <w:lang w:eastAsia="en-GB"/>
        </w:rPr>
        <w:t xml:space="preserve"> New York: Human Rights Watch.</w:t>
      </w:r>
      <w:r w:rsidRPr="00132FC0">
        <w:rPr>
          <w:rFonts w:asciiTheme="majorBidi" w:eastAsia="Times New Roman" w:hAnsiTheme="majorBidi" w:cstheme="majorBidi"/>
          <w:sz w:val="24"/>
          <w:szCs w:val="24"/>
          <w:lang w:eastAsia="en-GB"/>
        </w:rPr>
        <w:br/>
        <w:t xml:space="preserve">Center for Human Rights in Iran. </w:t>
      </w:r>
      <w:r w:rsidRPr="00132FC0">
        <w:rPr>
          <w:rFonts w:asciiTheme="majorBidi" w:eastAsia="Times New Roman" w:hAnsiTheme="majorBidi" w:cstheme="majorBidi"/>
          <w:i/>
          <w:iCs/>
          <w:sz w:val="24"/>
          <w:szCs w:val="24"/>
          <w:lang w:eastAsia="en-GB"/>
        </w:rPr>
        <w:t>Documentation of Human Rights Violations in Iran.</w:t>
      </w:r>
      <w:r w:rsidRPr="00132FC0">
        <w:rPr>
          <w:rFonts w:asciiTheme="majorBidi" w:eastAsia="Times New Roman" w:hAnsiTheme="majorBidi" w:cstheme="majorBidi"/>
          <w:sz w:val="24"/>
          <w:szCs w:val="24"/>
          <w:lang w:eastAsia="en-GB"/>
        </w:rPr>
        <w:t xml:space="preserve"> New York: CHRI.</w:t>
      </w:r>
    </w:p>
    <w:p w14:paraId="0E429FB8"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b/>
          <w:bCs/>
          <w:sz w:val="24"/>
          <w:szCs w:val="24"/>
          <w:rtl/>
          <w:lang w:eastAsia="en-GB"/>
        </w:rPr>
      </w:pPr>
      <w:r w:rsidRPr="00132FC0">
        <w:rPr>
          <w:rFonts w:asciiTheme="majorBidi" w:eastAsia="Times New Roman" w:hAnsiTheme="majorBidi" w:cstheme="majorBidi"/>
          <w:b/>
          <w:bCs/>
          <w:sz w:val="24"/>
          <w:szCs w:val="24"/>
          <w:lang w:eastAsia="en-GB"/>
        </w:rPr>
        <w:t>Iran-Focused Documentation Groups</w:t>
      </w:r>
    </w:p>
    <w:p w14:paraId="2CF60127"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hAnsiTheme="majorBidi" w:cstheme="majorBidi"/>
          <w:sz w:val="24"/>
          <w:szCs w:val="24"/>
        </w:rPr>
        <w:t xml:space="preserve">Kurdistan Human Rights Network (KHRN). </w:t>
      </w:r>
      <w:r w:rsidRPr="00132FC0">
        <w:rPr>
          <w:rStyle w:val="Emphasis"/>
          <w:rFonts w:asciiTheme="majorBidi" w:hAnsiTheme="majorBidi" w:cstheme="majorBidi"/>
          <w:sz w:val="24"/>
          <w:szCs w:val="24"/>
        </w:rPr>
        <w:t>Kurdistan Human Rights Documentation and Advocacy Reports.</w:t>
      </w:r>
      <w:r w:rsidRPr="00132FC0">
        <w:rPr>
          <w:rFonts w:asciiTheme="majorBidi" w:hAnsiTheme="majorBidi" w:cstheme="majorBidi"/>
          <w:sz w:val="24"/>
          <w:szCs w:val="24"/>
        </w:rPr>
        <w:t xml:space="preserve"> Paris: KHRN. Kurdistan Human Rights Network is a France-based independent, non-profit, and non-partisan </w:t>
      </w:r>
      <w:proofErr w:type="spellStart"/>
      <w:r w:rsidRPr="00132FC0">
        <w:rPr>
          <w:rFonts w:asciiTheme="majorBidi" w:hAnsiTheme="majorBidi" w:cstheme="majorBidi"/>
          <w:sz w:val="24"/>
          <w:szCs w:val="24"/>
        </w:rPr>
        <w:t>organisation</w:t>
      </w:r>
      <w:proofErr w:type="spellEnd"/>
      <w:r w:rsidRPr="00132FC0">
        <w:rPr>
          <w:rFonts w:asciiTheme="majorBidi" w:hAnsiTheme="majorBidi" w:cstheme="majorBidi"/>
          <w:sz w:val="24"/>
          <w:szCs w:val="24"/>
        </w:rPr>
        <w:t xml:space="preserve"> promoting human rights and documentation of violations in Iranian Kurdistan.</w:t>
      </w:r>
      <w:r w:rsidRPr="00132FC0">
        <w:rPr>
          <w:rFonts w:asciiTheme="majorBidi" w:eastAsia="Times New Roman" w:hAnsiTheme="majorBidi" w:cstheme="majorBidi"/>
          <w:sz w:val="24"/>
          <w:szCs w:val="24"/>
          <w:lang w:eastAsia="en-GB"/>
        </w:rPr>
        <w:br/>
        <w:t xml:space="preserve">Iran Human Rights (IHRNGO). </w:t>
      </w:r>
      <w:r w:rsidRPr="00132FC0">
        <w:rPr>
          <w:rFonts w:asciiTheme="majorBidi" w:eastAsia="Times New Roman" w:hAnsiTheme="majorBidi" w:cstheme="majorBidi"/>
          <w:i/>
          <w:iCs/>
          <w:sz w:val="24"/>
          <w:szCs w:val="24"/>
          <w:lang w:eastAsia="en-GB"/>
        </w:rPr>
        <w:t>Death Penalty and Protest-Related Killings in Iran.</w:t>
      </w:r>
      <w:r w:rsidRPr="00132FC0">
        <w:rPr>
          <w:rFonts w:asciiTheme="majorBidi" w:eastAsia="Times New Roman" w:hAnsiTheme="majorBidi" w:cstheme="majorBidi"/>
          <w:sz w:val="24"/>
          <w:szCs w:val="24"/>
          <w:lang w:eastAsia="en-GB"/>
        </w:rPr>
        <w:t xml:space="preserve"> Oslo: Iran Human Rights.</w:t>
      </w:r>
      <w:r w:rsidRPr="00132FC0">
        <w:rPr>
          <w:rFonts w:asciiTheme="majorBidi" w:eastAsia="Times New Roman" w:hAnsiTheme="majorBidi" w:cstheme="majorBidi"/>
          <w:sz w:val="24"/>
          <w:szCs w:val="24"/>
          <w:lang w:eastAsia="en-GB"/>
        </w:rPr>
        <w:br/>
        <w:t xml:space="preserve">Human Rights Activists News Agency (HRANA). </w:t>
      </w:r>
      <w:r w:rsidRPr="00132FC0">
        <w:rPr>
          <w:rFonts w:asciiTheme="majorBidi" w:eastAsia="Times New Roman" w:hAnsiTheme="majorBidi" w:cstheme="majorBidi"/>
          <w:i/>
          <w:iCs/>
          <w:sz w:val="24"/>
          <w:szCs w:val="24"/>
          <w:lang w:eastAsia="en-GB"/>
        </w:rPr>
        <w:t>Reports on Arrests and Casualties during Protests in Iran.</w:t>
      </w:r>
      <w:r w:rsidRPr="00132FC0">
        <w:rPr>
          <w:rFonts w:asciiTheme="majorBidi" w:eastAsia="Times New Roman" w:hAnsiTheme="majorBidi" w:cstheme="majorBidi"/>
          <w:sz w:val="24"/>
          <w:szCs w:val="24"/>
          <w:lang w:eastAsia="en-GB"/>
        </w:rPr>
        <w:t xml:space="preserve"> Washington, DC.</w:t>
      </w:r>
    </w:p>
    <w:p w14:paraId="74970E8E" w14:textId="77777777" w:rsidR="00132FC0" w:rsidRPr="00132FC0" w:rsidRDefault="00132FC0" w:rsidP="00132FC0">
      <w:pPr>
        <w:spacing w:before="100" w:beforeAutospacing="1" w:after="100" w:afterAutospacing="1" w:line="240" w:lineRule="auto"/>
        <w:rPr>
          <w:rFonts w:asciiTheme="majorBidi" w:eastAsia="Times New Roman" w:hAnsiTheme="majorBidi" w:cstheme="majorBidi"/>
          <w:sz w:val="24"/>
          <w:szCs w:val="24"/>
          <w:lang w:eastAsia="en-GB"/>
        </w:rPr>
      </w:pPr>
      <w:r w:rsidRPr="00132FC0">
        <w:rPr>
          <w:rFonts w:asciiTheme="majorBidi" w:eastAsia="Times New Roman" w:hAnsiTheme="majorBidi" w:cstheme="majorBidi"/>
          <w:b/>
          <w:bCs/>
          <w:sz w:val="24"/>
          <w:szCs w:val="24"/>
          <w:lang w:eastAsia="en-GB"/>
        </w:rPr>
        <w:t>International Media</w:t>
      </w:r>
      <w:r w:rsidRPr="00132FC0">
        <w:rPr>
          <w:rFonts w:asciiTheme="majorBidi" w:eastAsia="Times New Roman" w:hAnsiTheme="majorBidi" w:cstheme="majorBidi"/>
          <w:sz w:val="24"/>
          <w:szCs w:val="24"/>
          <w:lang w:eastAsia="en-GB"/>
        </w:rPr>
        <w:br/>
        <w:t xml:space="preserve">Reuters. </w:t>
      </w:r>
      <w:r w:rsidRPr="00132FC0">
        <w:rPr>
          <w:rFonts w:asciiTheme="majorBidi" w:eastAsia="Times New Roman" w:hAnsiTheme="majorBidi" w:cstheme="majorBidi"/>
          <w:i/>
          <w:iCs/>
          <w:sz w:val="24"/>
          <w:szCs w:val="24"/>
          <w:lang w:eastAsia="en-GB"/>
        </w:rPr>
        <w:t>Iran Protests: Security Forces and Casualty Reports.</w:t>
      </w:r>
      <w:r w:rsidRPr="00132FC0">
        <w:rPr>
          <w:rFonts w:asciiTheme="majorBidi" w:eastAsia="Times New Roman" w:hAnsiTheme="majorBidi" w:cstheme="majorBidi"/>
          <w:sz w:val="24"/>
          <w:szCs w:val="24"/>
          <w:lang w:eastAsia="en-GB"/>
        </w:rPr>
        <w:t xml:space="preserve"> London.</w:t>
      </w:r>
      <w:r w:rsidRPr="00132FC0">
        <w:rPr>
          <w:rFonts w:asciiTheme="majorBidi" w:eastAsia="Times New Roman" w:hAnsiTheme="majorBidi" w:cstheme="majorBidi"/>
          <w:sz w:val="24"/>
          <w:szCs w:val="24"/>
          <w:lang w:eastAsia="en-GB"/>
        </w:rPr>
        <w:br/>
        <w:t xml:space="preserve">Associated Press. </w:t>
      </w:r>
      <w:r w:rsidRPr="00132FC0">
        <w:rPr>
          <w:rFonts w:asciiTheme="majorBidi" w:eastAsia="Times New Roman" w:hAnsiTheme="majorBidi" w:cstheme="majorBidi"/>
          <w:i/>
          <w:iCs/>
          <w:sz w:val="24"/>
          <w:szCs w:val="24"/>
          <w:lang w:eastAsia="en-GB"/>
        </w:rPr>
        <w:t>Iran Judiciary Signals Executions amid Crackdown.</w:t>
      </w:r>
      <w:r w:rsidRPr="00132FC0">
        <w:rPr>
          <w:rFonts w:asciiTheme="majorBidi" w:eastAsia="Times New Roman" w:hAnsiTheme="majorBidi" w:cstheme="majorBidi"/>
          <w:sz w:val="24"/>
          <w:szCs w:val="24"/>
          <w:lang w:eastAsia="en-GB"/>
        </w:rPr>
        <w:t xml:space="preserve"> New York.</w:t>
      </w:r>
      <w:r w:rsidRPr="00132FC0">
        <w:rPr>
          <w:rFonts w:asciiTheme="majorBidi" w:eastAsia="Times New Roman" w:hAnsiTheme="majorBidi" w:cstheme="majorBidi"/>
          <w:sz w:val="24"/>
          <w:szCs w:val="24"/>
          <w:lang w:eastAsia="en-GB"/>
        </w:rPr>
        <w:br/>
        <w:t xml:space="preserve">The Guardian. </w:t>
      </w:r>
      <w:r w:rsidRPr="00132FC0">
        <w:rPr>
          <w:rFonts w:asciiTheme="majorBidi" w:eastAsia="Times New Roman" w:hAnsiTheme="majorBidi" w:cstheme="majorBidi"/>
          <w:i/>
          <w:iCs/>
          <w:sz w:val="24"/>
          <w:szCs w:val="24"/>
          <w:lang w:eastAsia="en-GB"/>
        </w:rPr>
        <w:t>Iran Protests: Lethal Force and Human Rights Violations.</w:t>
      </w:r>
      <w:r w:rsidRPr="00132FC0">
        <w:rPr>
          <w:rFonts w:asciiTheme="majorBidi" w:eastAsia="Times New Roman" w:hAnsiTheme="majorBidi" w:cstheme="majorBidi"/>
          <w:sz w:val="24"/>
          <w:szCs w:val="24"/>
          <w:lang w:eastAsia="en-GB"/>
        </w:rPr>
        <w:t xml:space="preserve"> London.</w:t>
      </w:r>
    </w:p>
    <w:p w14:paraId="5B86FD8E" w14:textId="065B3944" w:rsidR="008B5D7D" w:rsidRPr="00132FC0" w:rsidRDefault="008B5D7D" w:rsidP="009F53E9">
      <w:pPr>
        <w:rPr>
          <w:rFonts w:asciiTheme="majorBidi" w:hAnsiTheme="majorBidi" w:cstheme="majorBidi"/>
          <w:sz w:val="24"/>
          <w:szCs w:val="24"/>
          <w:lang w:bidi="ku-Arab-IQ"/>
        </w:rPr>
      </w:pPr>
    </w:p>
    <w:sectPr w:rsidR="008B5D7D" w:rsidRPr="00132FC0" w:rsidSect="00766D53">
      <w:headerReference w:type="even" r:id="rId8"/>
      <w:headerReference w:type="default" r:id="rId9"/>
      <w:footerReference w:type="even" r:id="rId10"/>
      <w:footerReference w:type="default" r:id="rId11"/>
      <w:headerReference w:type="first" r:id="rId12"/>
      <w:footerReference w:type="first" r:id="rId13"/>
      <w:pgSz w:w="11907" w:h="16840" w:code="9"/>
      <w:pgMar w:top="1134" w:right="851" w:bottom="1134" w:left="851"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E9958" w14:textId="77777777" w:rsidR="00DA62C4" w:rsidRDefault="00DA62C4" w:rsidP="001C421E">
      <w:pPr>
        <w:spacing w:after="0" w:line="240" w:lineRule="auto"/>
      </w:pPr>
      <w:r>
        <w:separator/>
      </w:r>
    </w:p>
  </w:endnote>
  <w:endnote w:type="continuationSeparator" w:id="0">
    <w:p w14:paraId="757F3DCA" w14:textId="77777777" w:rsidR="00DA62C4" w:rsidRDefault="00DA62C4" w:rsidP="001C4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panose1 w:val="020B0604020202020204"/>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7338931"/>
      <w:docPartObj>
        <w:docPartGallery w:val="Page Numbers (Bottom of Page)"/>
        <w:docPartUnique/>
      </w:docPartObj>
    </w:sdtPr>
    <w:sdtContent>
      <w:p w14:paraId="2EC6FBA8" w14:textId="77777777" w:rsidR="001910ED" w:rsidRDefault="001910ED" w:rsidP="00766D53">
        <w:pPr>
          <w:pStyle w:val="Footer"/>
          <w:framePr w:wrap="none" w:vAnchor="text" w:hAnchor="margin" w:xAlign="right" w:y="1"/>
          <w:rPr>
            <w:rStyle w:val="PageNumber"/>
            <w:rtl/>
          </w:rPr>
        </w:pPr>
      </w:p>
      <w:p w14:paraId="0D529DF9" w14:textId="77777777" w:rsidR="001910ED" w:rsidRDefault="001910ED" w:rsidP="00766D53">
        <w:pPr>
          <w:pStyle w:val="Footer"/>
          <w:framePr w:wrap="none" w:vAnchor="text" w:hAnchor="margin" w:xAlign="right" w:y="1"/>
          <w:rPr>
            <w:rStyle w:val="PageNumber"/>
            <w:rtl/>
          </w:rPr>
        </w:pPr>
      </w:p>
      <w:p w14:paraId="13D97DF0" w14:textId="77777777" w:rsidR="001910ED" w:rsidRDefault="001910ED" w:rsidP="00766D53">
        <w:pPr>
          <w:pStyle w:val="Footer"/>
          <w:framePr w:wrap="none" w:vAnchor="text" w:hAnchor="margin" w:xAlign="right" w:y="1"/>
          <w:rPr>
            <w:rStyle w:val="PageNumber"/>
            <w:rtl/>
          </w:rPr>
        </w:pPr>
      </w:p>
      <w:p w14:paraId="0BA56109" w14:textId="4AD977E6" w:rsidR="00692A19" w:rsidRDefault="00692A19" w:rsidP="00766D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5CBC03" w14:textId="77777777" w:rsidR="00692A19" w:rsidRDefault="00692A19" w:rsidP="00766D53">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E5923" w14:textId="64F47151" w:rsidR="00692A19" w:rsidRDefault="00692A19" w:rsidP="00766D53">
    <w:pPr>
      <w:pStyle w:val="Footer"/>
      <w:framePr w:wrap="none" w:vAnchor="text" w:hAnchor="margin" w:xAlign="right" w:y="1"/>
      <w:rPr>
        <w:rStyle w:val="PageNumber"/>
      </w:rPr>
    </w:pPr>
  </w:p>
  <w:p w14:paraId="07FD75C9" w14:textId="1E22AE40" w:rsidR="00692A19" w:rsidRPr="00516A51" w:rsidRDefault="00C76A1C" w:rsidP="00766D53">
    <w:pPr>
      <w:pStyle w:val="Footer"/>
      <w:ind w:right="360" w:firstLine="360"/>
      <w:rPr>
        <w:sz w:val="18"/>
        <w:szCs w:val="18"/>
      </w:rPr>
    </w:pPr>
    <w:hyperlink r:id="rId1" w:history="1">
      <w:r w:rsidRPr="00516A51">
        <w:rPr>
          <w:rStyle w:val="Hyperlink"/>
          <w:sz w:val="18"/>
          <w:szCs w:val="18"/>
        </w:rPr>
        <w:t>www.pjak.eu</w:t>
      </w:r>
    </w:hyperlink>
    <w:r w:rsidRPr="00516A51">
      <w:rPr>
        <w:sz w:val="18"/>
        <w:szCs w:val="18"/>
      </w:rPr>
      <w:t xml:space="preserve">         </w:t>
    </w:r>
    <w:r w:rsidR="00132FC0">
      <w:rPr>
        <w:rFonts w:hint="cs"/>
        <w:sz w:val="18"/>
        <w:szCs w:val="18"/>
        <w:rtl/>
      </w:rPr>
      <w:t xml:space="preserve">                          </w:t>
    </w:r>
    <w:r w:rsidR="006976B9">
      <w:rPr>
        <w:sz w:val="18"/>
        <w:szCs w:val="18"/>
      </w:rPr>
      <w:t xml:space="preserve"> </w:t>
    </w:r>
    <w:r w:rsidRPr="00516A51">
      <w:rPr>
        <w:sz w:val="18"/>
        <w:szCs w:val="18"/>
      </w:rPr>
      <w:t xml:space="preserve">                                                                                Email:    </w:t>
    </w:r>
    <w:hyperlink r:id="rId2" w:history="1">
      <w:r w:rsidRPr="00516A51">
        <w:rPr>
          <w:rStyle w:val="Hyperlink"/>
          <w:sz w:val="18"/>
          <w:szCs w:val="18"/>
        </w:rPr>
        <w:t>info@pjak.info</w:t>
      </w:r>
    </w:hyperlink>
    <w:r w:rsidRPr="00516A51">
      <w:rPr>
        <w:sz w:val="18"/>
        <w:szCs w:val="18"/>
      </w:rPr>
      <w:t xml:space="preserve"> , </w:t>
    </w:r>
    <w:hyperlink r:id="rId3" w:history="1">
      <w:r w:rsidRPr="00516A51">
        <w:rPr>
          <w:rStyle w:val="Hyperlink"/>
          <w:sz w:val="18"/>
          <w:szCs w:val="18"/>
        </w:rPr>
        <w:t>pjak.eu@gmail.com</w:t>
      </w:r>
    </w:hyperlink>
    <w:r w:rsidRPr="00516A51">
      <w:rPr>
        <w:sz w:val="18"/>
        <w:szCs w:val="18"/>
      </w:rPr>
      <w:t xml:space="preserve"> </w:t>
    </w:r>
  </w:p>
  <w:p w14:paraId="5212EE2F" w14:textId="30FAE45D" w:rsidR="00191B75" w:rsidRDefault="00191B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84D6A" w14:textId="77777777" w:rsidR="007C0CC5" w:rsidRDefault="007C0C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4F0D0" w14:textId="77777777" w:rsidR="00DA62C4" w:rsidRDefault="00DA62C4" w:rsidP="001C421E">
      <w:pPr>
        <w:spacing w:after="0" w:line="240" w:lineRule="auto"/>
      </w:pPr>
      <w:r>
        <w:separator/>
      </w:r>
    </w:p>
  </w:footnote>
  <w:footnote w:type="continuationSeparator" w:id="0">
    <w:p w14:paraId="0AEDC575" w14:textId="77777777" w:rsidR="00DA62C4" w:rsidRDefault="00DA62C4" w:rsidP="001C42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EFC07" w14:textId="77777777" w:rsidR="001C421E" w:rsidRDefault="001C42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FFFF7" w14:textId="27A9D577" w:rsidR="001C421E" w:rsidRDefault="000E56AE">
    <w:pPr>
      <w:pStyle w:val="Header"/>
    </w:pPr>
    <w:r>
      <w:rPr>
        <w:b/>
        <w:bCs/>
        <w:noProof/>
        <w:sz w:val="28"/>
        <w:szCs w:val="28"/>
        <w:rtl/>
        <w:lang w:val="fa-IR" w:bidi="fa-IR"/>
      </w:rPr>
      <w:drawing>
        <wp:inline distT="0" distB="0" distL="0" distR="0" wp14:anchorId="567D8B52" wp14:editId="17AEEBD8">
          <wp:extent cx="6480175" cy="971550"/>
          <wp:effectExtent l="0" t="0" r="0" b="6350"/>
          <wp:docPr id="1005511638" name="Picture 100551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672034" name="Picture 1771672034"/>
                  <pic:cNvPicPr/>
                </pic:nvPicPr>
                <pic:blipFill>
                  <a:blip r:embed="rId1">
                    <a:extLst>
                      <a:ext uri="{28A0092B-C50C-407E-A947-70E740481C1C}">
                        <a14:useLocalDpi xmlns:a14="http://schemas.microsoft.com/office/drawing/2010/main" val="0"/>
                      </a:ext>
                    </a:extLst>
                  </a:blip>
                  <a:stretch>
                    <a:fillRect/>
                  </a:stretch>
                </pic:blipFill>
                <pic:spPr>
                  <a:xfrm>
                    <a:off x="0" y="0"/>
                    <a:ext cx="6480175" cy="971550"/>
                  </a:xfrm>
                  <a:prstGeom prst="rect">
                    <a:avLst/>
                  </a:prstGeom>
                </pic:spPr>
              </pic:pic>
            </a:graphicData>
          </a:graphic>
        </wp:inline>
      </w:drawing>
    </w:r>
  </w:p>
  <w:p w14:paraId="6ABDDA7B" w14:textId="55F4B3FD" w:rsidR="00B40620" w:rsidRDefault="00B4062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CB9BF" w14:textId="77777777" w:rsidR="001C421E" w:rsidRDefault="001C42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248D9"/>
    <w:multiLevelType w:val="hybridMultilevel"/>
    <w:tmpl w:val="DE0C275E"/>
    <w:lvl w:ilvl="0" w:tplc="F1A4BB92">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051796D"/>
    <w:multiLevelType w:val="hybridMultilevel"/>
    <w:tmpl w:val="4AAAC9EE"/>
    <w:lvl w:ilvl="0" w:tplc="F1A4BB92">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FCA08B3"/>
    <w:multiLevelType w:val="hybridMultilevel"/>
    <w:tmpl w:val="D460FDF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3102F95"/>
    <w:multiLevelType w:val="multilevel"/>
    <w:tmpl w:val="5C582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D9B2F88"/>
    <w:multiLevelType w:val="multilevel"/>
    <w:tmpl w:val="53D45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385F7B"/>
    <w:multiLevelType w:val="multilevel"/>
    <w:tmpl w:val="7BB8C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5566FE"/>
    <w:multiLevelType w:val="hybridMultilevel"/>
    <w:tmpl w:val="D434764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84719C2"/>
    <w:multiLevelType w:val="hybridMultilevel"/>
    <w:tmpl w:val="B4943E74"/>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BE06FD4"/>
    <w:multiLevelType w:val="hybridMultilevel"/>
    <w:tmpl w:val="C47C7CD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72E925E9"/>
    <w:multiLevelType w:val="hybridMultilevel"/>
    <w:tmpl w:val="500C59D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35990009">
    <w:abstractNumId w:val="6"/>
  </w:num>
  <w:num w:numId="2" w16cid:durableId="169762476">
    <w:abstractNumId w:val="2"/>
  </w:num>
  <w:num w:numId="3" w16cid:durableId="1400639071">
    <w:abstractNumId w:val="9"/>
  </w:num>
  <w:num w:numId="4" w16cid:durableId="1896697122">
    <w:abstractNumId w:val="7"/>
  </w:num>
  <w:num w:numId="5" w16cid:durableId="618488815">
    <w:abstractNumId w:val="0"/>
  </w:num>
  <w:num w:numId="6" w16cid:durableId="1940285861">
    <w:abstractNumId w:val="1"/>
  </w:num>
  <w:num w:numId="7" w16cid:durableId="2121682981">
    <w:abstractNumId w:val="8"/>
  </w:num>
  <w:num w:numId="8" w16cid:durableId="1442258579">
    <w:abstractNumId w:val="4"/>
  </w:num>
  <w:num w:numId="9" w16cid:durableId="1828353656">
    <w:abstractNumId w:val="5"/>
  </w:num>
  <w:num w:numId="10" w16cid:durableId="17731624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9B0"/>
    <w:rsid w:val="00015E6B"/>
    <w:rsid w:val="000226F7"/>
    <w:rsid w:val="0003414E"/>
    <w:rsid w:val="0005544D"/>
    <w:rsid w:val="00070447"/>
    <w:rsid w:val="00094904"/>
    <w:rsid w:val="000D0706"/>
    <w:rsid w:val="000E56AE"/>
    <w:rsid w:val="001058A8"/>
    <w:rsid w:val="00116D06"/>
    <w:rsid w:val="00132FC0"/>
    <w:rsid w:val="001331F8"/>
    <w:rsid w:val="00135946"/>
    <w:rsid w:val="00144779"/>
    <w:rsid w:val="00150FE8"/>
    <w:rsid w:val="00153183"/>
    <w:rsid w:val="001726CB"/>
    <w:rsid w:val="001854CB"/>
    <w:rsid w:val="001865EE"/>
    <w:rsid w:val="001910ED"/>
    <w:rsid w:val="00191B75"/>
    <w:rsid w:val="00192731"/>
    <w:rsid w:val="00192E35"/>
    <w:rsid w:val="001A0007"/>
    <w:rsid w:val="001C28BF"/>
    <w:rsid w:val="001C421E"/>
    <w:rsid w:val="001D6715"/>
    <w:rsid w:val="001D74FB"/>
    <w:rsid w:val="00204D81"/>
    <w:rsid w:val="002122B2"/>
    <w:rsid w:val="002466A1"/>
    <w:rsid w:val="00273CDE"/>
    <w:rsid w:val="002801BB"/>
    <w:rsid w:val="002838BD"/>
    <w:rsid w:val="002A385B"/>
    <w:rsid w:val="002B0426"/>
    <w:rsid w:val="002E40E6"/>
    <w:rsid w:val="002F7C96"/>
    <w:rsid w:val="0030618D"/>
    <w:rsid w:val="0031618E"/>
    <w:rsid w:val="00321ABB"/>
    <w:rsid w:val="003458A5"/>
    <w:rsid w:val="0035569B"/>
    <w:rsid w:val="00357364"/>
    <w:rsid w:val="00363050"/>
    <w:rsid w:val="00386C22"/>
    <w:rsid w:val="003A4FB0"/>
    <w:rsid w:val="003A6BFB"/>
    <w:rsid w:val="004063F1"/>
    <w:rsid w:val="0040799A"/>
    <w:rsid w:val="00433F5B"/>
    <w:rsid w:val="00467BB0"/>
    <w:rsid w:val="00472796"/>
    <w:rsid w:val="004851B7"/>
    <w:rsid w:val="004A481D"/>
    <w:rsid w:val="004A7B96"/>
    <w:rsid w:val="004B59A3"/>
    <w:rsid w:val="004D6E1C"/>
    <w:rsid w:val="004F2C6D"/>
    <w:rsid w:val="004F74FD"/>
    <w:rsid w:val="005018B6"/>
    <w:rsid w:val="00516A51"/>
    <w:rsid w:val="0052757A"/>
    <w:rsid w:val="005413C9"/>
    <w:rsid w:val="0055566F"/>
    <w:rsid w:val="005873B9"/>
    <w:rsid w:val="005A0F75"/>
    <w:rsid w:val="005A2331"/>
    <w:rsid w:val="005C7128"/>
    <w:rsid w:val="005E4FC7"/>
    <w:rsid w:val="005F376A"/>
    <w:rsid w:val="00612B06"/>
    <w:rsid w:val="006203DD"/>
    <w:rsid w:val="00624AC4"/>
    <w:rsid w:val="00631B14"/>
    <w:rsid w:val="006531F9"/>
    <w:rsid w:val="00674588"/>
    <w:rsid w:val="00675D24"/>
    <w:rsid w:val="00675F7F"/>
    <w:rsid w:val="0068493D"/>
    <w:rsid w:val="00692A19"/>
    <w:rsid w:val="006976B9"/>
    <w:rsid w:val="006A104E"/>
    <w:rsid w:val="006C6A46"/>
    <w:rsid w:val="00725CDF"/>
    <w:rsid w:val="00750928"/>
    <w:rsid w:val="00766D53"/>
    <w:rsid w:val="00786D31"/>
    <w:rsid w:val="0078780C"/>
    <w:rsid w:val="007A0F36"/>
    <w:rsid w:val="007B0C01"/>
    <w:rsid w:val="007B0F49"/>
    <w:rsid w:val="007C0CC5"/>
    <w:rsid w:val="00824A3D"/>
    <w:rsid w:val="008748EB"/>
    <w:rsid w:val="008A0F3E"/>
    <w:rsid w:val="008B5D7D"/>
    <w:rsid w:val="00936B2A"/>
    <w:rsid w:val="0095245F"/>
    <w:rsid w:val="009548B8"/>
    <w:rsid w:val="00955957"/>
    <w:rsid w:val="0097471D"/>
    <w:rsid w:val="00984626"/>
    <w:rsid w:val="009D09EF"/>
    <w:rsid w:val="009F53E9"/>
    <w:rsid w:val="00A101C6"/>
    <w:rsid w:val="00A277AB"/>
    <w:rsid w:val="00A41C3F"/>
    <w:rsid w:val="00A46EC9"/>
    <w:rsid w:val="00A52C58"/>
    <w:rsid w:val="00A54A18"/>
    <w:rsid w:val="00A64AAA"/>
    <w:rsid w:val="00A873D6"/>
    <w:rsid w:val="00AA000B"/>
    <w:rsid w:val="00AA5628"/>
    <w:rsid w:val="00AB07C7"/>
    <w:rsid w:val="00AC02B1"/>
    <w:rsid w:val="00AC2482"/>
    <w:rsid w:val="00AF0E98"/>
    <w:rsid w:val="00B00C8A"/>
    <w:rsid w:val="00B05866"/>
    <w:rsid w:val="00B1064F"/>
    <w:rsid w:val="00B40620"/>
    <w:rsid w:val="00B40835"/>
    <w:rsid w:val="00B50235"/>
    <w:rsid w:val="00B643F2"/>
    <w:rsid w:val="00B71BBA"/>
    <w:rsid w:val="00B74C22"/>
    <w:rsid w:val="00B83030"/>
    <w:rsid w:val="00BA398E"/>
    <w:rsid w:val="00BB07DB"/>
    <w:rsid w:val="00BD5D77"/>
    <w:rsid w:val="00BE1430"/>
    <w:rsid w:val="00BE4D3D"/>
    <w:rsid w:val="00BF5723"/>
    <w:rsid w:val="00C241B2"/>
    <w:rsid w:val="00C333A4"/>
    <w:rsid w:val="00C41E51"/>
    <w:rsid w:val="00C50CDA"/>
    <w:rsid w:val="00C76A1C"/>
    <w:rsid w:val="00C96137"/>
    <w:rsid w:val="00C97E5C"/>
    <w:rsid w:val="00CC1AE4"/>
    <w:rsid w:val="00CC3F9C"/>
    <w:rsid w:val="00CC7152"/>
    <w:rsid w:val="00CE0ED3"/>
    <w:rsid w:val="00CE365F"/>
    <w:rsid w:val="00D00D60"/>
    <w:rsid w:val="00D1033A"/>
    <w:rsid w:val="00D16DA1"/>
    <w:rsid w:val="00D175A2"/>
    <w:rsid w:val="00D2494F"/>
    <w:rsid w:val="00D33130"/>
    <w:rsid w:val="00D34A5C"/>
    <w:rsid w:val="00D437FE"/>
    <w:rsid w:val="00D7606C"/>
    <w:rsid w:val="00D82D69"/>
    <w:rsid w:val="00DA62C4"/>
    <w:rsid w:val="00DD3419"/>
    <w:rsid w:val="00DF3445"/>
    <w:rsid w:val="00DF49B0"/>
    <w:rsid w:val="00E06A89"/>
    <w:rsid w:val="00E10BCE"/>
    <w:rsid w:val="00E36CC9"/>
    <w:rsid w:val="00E51D51"/>
    <w:rsid w:val="00E945C8"/>
    <w:rsid w:val="00EC340D"/>
    <w:rsid w:val="00ED1B9C"/>
    <w:rsid w:val="00EE6CF4"/>
    <w:rsid w:val="00EF66F6"/>
    <w:rsid w:val="00F55116"/>
    <w:rsid w:val="00F60B1D"/>
    <w:rsid w:val="00F66C55"/>
    <w:rsid w:val="00F71638"/>
    <w:rsid w:val="00FA4B8C"/>
    <w:rsid w:val="00FB3D63"/>
    <w:rsid w:val="00FD6280"/>
    <w:rsid w:val="00FE184E"/>
    <w:rsid w:val="00FF40A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50C401"/>
  <w15:chartTrackingRefBased/>
  <w15:docId w15:val="{8DD51CD1-A7A9-4835-B2CE-581DA498A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04E"/>
  </w:style>
  <w:style w:type="paragraph" w:styleId="Heading3">
    <w:name w:val="heading 3"/>
    <w:basedOn w:val="Normal"/>
    <w:link w:val="Heading3Char"/>
    <w:uiPriority w:val="9"/>
    <w:qFormat/>
    <w:rsid w:val="00C50CDA"/>
    <w:pPr>
      <w:spacing w:before="100" w:beforeAutospacing="1" w:after="100" w:afterAutospacing="1" w:line="240" w:lineRule="auto"/>
      <w:outlineLvl w:val="2"/>
    </w:pPr>
    <w:rPr>
      <w:rFonts w:ascii="Times New Roman" w:eastAsia="Times New Roman" w:hAnsi="Times New Roman" w:cs="Times New Roman"/>
      <w:b/>
      <w:bCs/>
      <w:sz w:val="27"/>
      <w:szCs w:val="27"/>
      <w:lang w:val="en-B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42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421E"/>
  </w:style>
  <w:style w:type="paragraph" w:styleId="Footer">
    <w:name w:val="footer"/>
    <w:basedOn w:val="Normal"/>
    <w:link w:val="FooterChar"/>
    <w:uiPriority w:val="99"/>
    <w:unhideWhenUsed/>
    <w:rsid w:val="001C42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421E"/>
  </w:style>
  <w:style w:type="paragraph" w:styleId="ListParagraph">
    <w:name w:val="List Paragraph"/>
    <w:basedOn w:val="Normal"/>
    <w:uiPriority w:val="34"/>
    <w:qFormat/>
    <w:rsid w:val="00191B75"/>
    <w:pPr>
      <w:ind w:left="720"/>
      <w:contextualSpacing/>
    </w:pPr>
  </w:style>
  <w:style w:type="paragraph" w:styleId="NoSpacing">
    <w:name w:val="No Spacing"/>
    <w:link w:val="NoSpacingChar"/>
    <w:uiPriority w:val="1"/>
    <w:qFormat/>
    <w:rsid w:val="00191B75"/>
    <w:pPr>
      <w:spacing w:after="0" w:line="240" w:lineRule="auto"/>
    </w:pPr>
    <w:rPr>
      <w:rFonts w:eastAsiaTheme="minorEastAsia"/>
      <w:lang w:eastAsia="zh-CN"/>
    </w:rPr>
  </w:style>
  <w:style w:type="character" w:customStyle="1" w:styleId="NoSpacingChar">
    <w:name w:val="No Spacing Char"/>
    <w:basedOn w:val="DefaultParagraphFont"/>
    <w:link w:val="NoSpacing"/>
    <w:uiPriority w:val="1"/>
    <w:rsid w:val="00191B75"/>
    <w:rPr>
      <w:rFonts w:eastAsiaTheme="minorEastAsia"/>
      <w:lang w:eastAsia="zh-CN"/>
    </w:rPr>
  </w:style>
  <w:style w:type="character" w:styleId="PageNumber">
    <w:name w:val="page number"/>
    <w:basedOn w:val="DefaultParagraphFont"/>
    <w:uiPriority w:val="99"/>
    <w:semiHidden/>
    <w:unhideWhenUsed/>
    <w:rsid w:val="00191B75"/>
  </w:style>
  <w:style w:type="character" w:styleId="Hyperlink">
    <w:name w:val="Hyperlink"/>
    <w:basedOn w:val="DefaultParagraphFont"/>
    <w:uiPriority w:val="99"/>
    <w:unhideWhenUsed/>
    <w:rsid w:val="00C76A1C"/>
    <w:rPr>
      <w:color w:val="0563C1" w:themeColor="hyperlink"/>
      <w:u w:val="single"/>
    </w:rPr>
  </w:style>
  <w:style w:type="character" w:styleId="UnresolvedMention">
    <w:name w:val="Unresolved Mention"/>
    <w:basedOn w:val="DefaultParagraphFont"/>
    <w:uiPriority w:val="99"/>
    <w:semiHidden/>
    <w:unhideWhenUsed/>
    <w:rsid w:val="00C76A1C"/>
    <w:rPr>
      <w:color w:val="605E5C"/>
      <w:shd w:val="clear" w:color="auto" w:fill="E1DFDD"/>
    </w:rPr>
  </w:style>
  <w:style w:type="character" w:styleId="FollowedHyperlink">
    <w:name w:val="FollowedHyperlink"/>
    <w:basedOn w:val="DefaultParagraphFont"/>
    <w:uiPriority w:val="99"/>
    <w:semiHidden/>
    <w:unhideWhenUsed/>
    <w:rsid w:val="00C76A1C"/>
    <w:rPr>
      <w:color w:val="954F72" w:themeColor="followedHyperlink"/>
      <w:u w:val="single"/>
    </w:rPr>
  </w:style>
  <w:style w:type="character" w:customStyle="1" w:styleId="Heading3Char">
    <w:name w:val="Heading 3 Char"/>
    <w:basedOn w:val="DefaultParagraphFont"/>
    <w:link w:val="Heading3"/>
    <w:uiPriority w:val="9"/>
    <w:rsid w:val="00C50CDA"/>
    <w:rPr>
      <w:rFonts w:ascii="Times New Roman" w:eastAsia="Times New Roman" w:hAnsi="Times New Roman" w:cs="Times New Roman"/>
      <w:b/>
      <w:bCs/>
      <w:sz w:val="27"/>
      <w:szCs w:val="27"/>
      <w:lang w:val="en-BE" w:eastAsia="en-GB"/>
    </w:rPr>
  </w:style>
  <w:style w:type="character" w:styleId="Strong">
    <w:name w:val="Strong"/>
    <w:basedOn w:val="DefaultParagraphFont"/>
    <w:uiPriority w:val="22"/>
    <w:qFormat/>
    <w:rsid w:val="00C50CDA"/>
    <w:rPr>
      <w:b/>
      <w:bCs/>
    </w:rPr>
  </w:style>
  <w:style w:type="paragraph" w:styleId="NormalWeb">
    <w:name w:val="Normal (Web)"/>
    <w:basedOn w:val="Normal"/>
    <w:uiPriority w:val="99"/>
    <w:unhideWhenUsed/>
    <w:rsid w:val="009548B8"/>
    <w:pPr>
      <w:spacing w:before="100" w:beforeAutospacing="1" w:after="100" w:afterAutospacing="1" w:line="240" w:lineRule="auto"/>
    </w:pPr>
    <w:rPr>
      <w:rFonts w:ascii="Times New Roman" w:eastAsia="Times New Roman" w:hAnsi="Times New Roman" w:cs="Times New Roman"/>
      <w:sz w:val="24"/>
      <w:szCs w:val="24"/>
      <w:lang w:val="en-BE" w:eastAsia="en-GB"/>
    </w:rPr>
  </w:style>
  <w:style w:type="character" w:styleId="Emphasis">
    <w:name w:val="Emphasis"/>
    <w:basedOn w:val="DefaultParagraphFont"/>
    <w:uiPriority w:val="20"/>
    <w:qFormat/>
    <w:rsid w:val="009548B8"/>
    <w:rPr>
      <w:i/>
      <w:iCs/>
    </w:rPr>
  </w:style>
  <w:style w:type="paragraph" w:customStyle="1" w:styleId="Standard">
    <w:name w:val="Standard"/>
    <w:rsid w:val="008B5D7D"/>
    <w:pPr>
      <w:suppressAutoHyphens/>
      <w:autoSpaceDN w:val="0"/>
      <w:spacing w:after="0" w:line="240" w:lineRule="auto"/>
      <w:textAlignment w:val="baseline"/>
    </w:pPr>
    <w:rPr>
      <w:rFonts w:ascii="Liberation Serif" w:eastAsia="SimSun" w:hAnsi="Liberation Serif" w:cs="Lucida Sans"/>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05808">
      <w:bodyDiv w:val="1"/>
      <w:marLeft w:val="0"/>
      <w:marRight w:val="0"/>
      <w:marTop w:val="0"/>
      <w:marBottom w:val="0"/>
      <w:divBdr>
        <w:top w:val="none" w:sz="0" w:space="0" w:color="auto"/>
        <w:left w:val="none" w:sz="0" w:space="0" w:color="auto"/>
        <w:bottom w:val="none" w:sz="0" w:space="0" w:color="auto"/>
        <w:right w:val="none" w:sz="0" w:space="0" w:color="auto"/>
      </w:divBdr>
    </w:div>
    <w:div w:id="2103597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mailto:pjak.eu@gmail.com" TargetMode="External"/><Relationship Id="rId2" Type="http://schemas.openxmlformats.org/officeDocument/2006/relationships/hyperlink" Target="mailto:info@pjak.info" TargetMode="External"/><Relationship Id="rId1" Type="http://schemas.openxmlformats.org/officeDocument/2006/relationships/hyperlink" Target="http://www.pjak.e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C99D4-DB38-CD43-B447-2121603CD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1645</Words>
  <Characters>9383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zagros.zagrosan@icloud.com</cp:lastModifiedBy>
  <cp:revision>3</cp:revision>
  <cp:lastPrinted>2025-09-23T13:05:00Z</cp:lastPrinted>
  <dcterms:created xsi:type="dcterms:W3CDTF">2026-01-15T10:11:00Z</dcterms:created>
  <dcterms:modified xsi:type="dcterms:W3CDTF">2026-01-15T10:11:00Z</dcterms:modified>
</cp:coreProperties>
</file>